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89" w:rsidRPr="00866389" w:rsidRDefault="00866389" w:rsidP="00866389">
      <w:pPr>
        <w:jc w:val="both"/>
        <w:rPr>
          <w:rFonts w:asciiTheme="majorHAnsi" w:hAnsiTheme="majorHAnsi"/>
          <w:b/>
          <w:sz w:val="28"/>
          <w:szCs w:val="28"/>
        </w:rPr>
      </w:pPr>
      <w:r w:rsidRPr="00866389">
        <w:rPr>
          <w:rFonts w:asciiTheme="majorHAnsi" w:hAnsiTheme="majorHAnsi"/>
          <w:b/>
          <w:sz w:val="28"/>
          <w:szCs w:val="28"/>
        </w:rPr>
        <w:t>Wykres nr 1 Odpady komunalne niesegregowane na przełomie poszczególnych miesięcy w 2014 r.</w:t>
      </w:r>
    </w:p>
    <w:p w:rsidR="00866389" w:rsidRDefault="00866389" w:rsidP="00C61C4F"/>
    <w:p w:rsidR="00866389" w:rsidRDefault="00866389" w:rsidP="00C61C4F"/>
    <w:p w:rsidR="00C61C4F" w:rsidRPr="001D41A0" w:rsidRDefault="00C61C4F" w:rsidP="00C61C4F"/>
    <w:p w:rsidR="00866389" w:rsidRDefault="00E23BA7" w:rsidP="00C61C4F">
      <w:pPr>
        <w:tabs>
          <w:tab w:val="left" w:pos="1125"/>
        </w:tabs>
        <w:spacing w:after="0"/>
        <w:jc w:val="both"/>
        <w:rPr>
          <w:rFonts w:asciiTheme="majorHAnsi" w:hAnsiTheme="majorHAnsi"/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486400" cy="3200400"/>
            <wp:effectExtent l="19050" t="0" r="19050" b="0"/>
            <wp:docPr id="2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66389" w:rsidRDefault="00866389" w:rsidP="00C61C4F">
      <w:pPr>
        <w:tabs>
          <w:tab w:val="left" w:pos="1125"/>
        </w:tabs>
        <w:spacing w:after="0"/>
        <w:jc w:val="both"/>
        <w:rPr>
          <w:rFonts w:asciiTheme="majorHAnsi" w:hAnsiTheme="majorHAnsi"/>
          <w:b/>
          <w:sz w:val="28"/>
          <w:szCs w:val="28"/>
        </w:rPr>
      </w:pPr>
    </w:p>
    <w:p w:rsidR="00866389" w:rsidRDefault="00866389" w:rsidP="00C61C4F">
      <w:pPr>
        <w:tabs>
          <w:tab w:val="left" w:pos="1125"/>
        </w:tabs>
        <w:spacing w:after="0"/>
        <w:jc w:val="both"/>
        <w:rPr>
          <w:rFonts w:asciiTheme="majorHAnsi" w:hAnsiTheme="majorHAnsi"/>
          <w:b/>
          <w:sz w:val="28"/>
          <w:szCs w:val="28"/>
        </w:rPr>
      </w:pPr>
    </w:p>
    <w:p w:rsidR="00866389" w:rsidRDefault="00866389" w:rsidP="00C61C4F">
      <w:pPr>
        <w:tabs>
          <w:tab w:val="left" w:pos="1125"/>
        </w:tabs>
        <w:spacing w:after="0"/>
        <w:jc w:val="both"/>
        <w:rPr>
          <w:rFonts w:asciiTheme="majorHAnsi" w:hAnsiTheme="majorHAnsi"/>
          <w:b/>
          <w:sz w:val="28"/>
          <w:szCs w:val="28"/>
        </w:rPr>
      </w:pPr>
    </w:p>
    <w:p w:rsidR="00866389" w:rsidRDefault="00866389" w:rsidP="00C61C4F">
      <w:pPr>
        <w:tabs>
          <w:tab w:val="left" w:pos="1125"/>
        </w:tabs>
        <w:spacing w:after="0"/>
        <w:jc w:val="both"/>
        <w:rPr>
          <w:rFonts w:asciiTheme="majorHAnsi" w:hAnsiTheme="majorHAnsi"/>
          <w:b/>
          <w:sz w:val="28"/>
          <w:szCs w:val="28"/>
        </w:rPr>
      </w:pPr>
    </w:p>
    <w:p w:rsidR="00866389" w:rsidRDefault="00866389" w:rsidP="00C61C4F">
      <w:pPr>
        <w:tabs>
          <w:tab w:val="left" w:pos="1125"/>
        </w:tabs>
        <w:spacing w:after="0"/>
        <w:jc w:val="both"/>
        <w:rPr>
          <w:rFonts w:asciiTheme="majorHAnsi" w:hAnsiTheme="majorHAnsi"/>
          <w:b/>
          <w:sz w:val="28"/>
          <w:szCs w:val="28"/>
        </w:rPr>
      </w:pPr>
    </w:p>
    <w:p w:rsidR="00866389" w:rsidRDefault="00866389" w:rsidP="00C61C4F">
      <w:pPr>
        <w:tabs>
          <w:tab w:val="left" w:pos="1125"/>
        </w:tabs>
        <w:spacing w:after="0"/>
        <w:jc w:val="both"/>
        <w:rPr>
          <w:rFonts w:asciiTheme="majorHAnsi" w:hAnsiTheme="majorHAnsi"/>
          <w:b/>
          <w:sz w:val="28"/>
          <w:szCs w:val="28"/>
        </w:rPr>
      </w:pPr>
    </w:p>
    <w:p w:rsidR="00866389" w:rsidRDefault="00866389" w:rsidP="00C61C4F">
      <w:pPr>
        <w:tabs>
          <w:tab w:val="left" w:pos="1125"/>
        </w:tabs>
        <w:spacing w:after="0"/>
        <w:jc w:val="both"/>
        <w:rPr>
          <w:rFonts w:asciiTheme="majorHAnsi" w:hAnsiTheme="majorHAnsi"/>
          <w:b/>
          <w:sz w:val="28"/>
          <w:szCs w:val="28"/>
        </w:rPr>
      </w:pPr>
    </w:p>
    <w:p w:rsidR="00866389" w:rsidRDefault="00866389" w:rsidP="00C61C4F">
      <w:pPr>
        <w:tabs>
          <w:tab w:val="left" w:pos="1125"/>
        </w:tabs>
        <w:spacing w:after="0"/>
        <w:jc w:val="both"/>
        <w:rPr>
          <w:rFonts w:asciiTheme="majorHAnsi" w:hAnsiTheme="majorHAnsi"/>
          <w:b/>
          <w:sz w:val="28"/>
          <w:szCs w:val="28"/>
        </w:rPr>
      </w:pPr>
    </w:p>
    <w:p w:rsidR="00866389" w:rsidRDefault="00866389" w:rsidP="00C61C4F">
      <w:pPr>
        <w:tabs>
          <w:tab w:val="left" w:pos="1125"/>
        </w:tabs>
        <w:spacing w:after="0"/>
        <w:jc w:val="both"/>
        <w:rPr>
          <w:rFonts w:asciiTheme="majorHAnsi" w:hAnsiTheme="majorHAnsi"/>
          <w:b/>
          <w:sz w:val="28"/>
          <w:szCs w:val="28"/>
        </w:rPr>
      </w:pPr>
    </w:p>
    <w:p w:rsidR="00866389" w:rsidRDefault="00866389" w:rsidP="00C61C4F">
      <w:pPr>
        <w:tabs>
          <w:tab w:val="left" w:pos="1125"/>
        </w:tabs>
        <w:spacing w:after="0"/>
        <w:jc w:val="both"/>
        <w:rPr>
          <w:rFonts w:asciiTheme="majorHAnsi" w:hAnsiTheme="majorHAnsi"/>
          <w:b/>
          <w:sz w:val="28"/>
          <w:szCs w:val="28"/>
        </w:rPr>
      </w:pPr>
    </w:p>
    <w:p w:rsidR="00866389" w:rsidRDefault="00866389" w:rsidP="00C61C4F">
      <w:pPr>
        <w:tabs>
          <w:tab w:val="left" w:pos="1125"/>
        </w:tabs>
        <w:spacing w:after="0"/>
        <w:jc w:val="both"/>
        <w:rPr>
          <w:rFonts w:asciiTheme="majorHAnsi" w:hAnsiTheme="majorHAnsi"/>
          <w:b/>
          <w:sz w:val="28"/>
          <w:szCs w:val="28"/>
        </w:rPr>
      </w:pPr>
    </w:p>
    <w:p w:rsidR="00866389" w:rsidRDefault="00866389" w:rsidP="00C61C4F">
      <w:pPr>
        <w:tabs>
          <w:tab w:val="left" w:pos="1125"/>
        </w:tabs>
        <w:spacing w:after="0"/>
        <w:jc w:val="both"/>
        <w:rPr>
          <w:rFonts w:asciiTheme="majorHAnsi" w:hAnsiTheme="majorHAnsi"/>
          <w:b/>
          <w:sz w:val="28"/>
          <w:szCs w:val="28"/>
        </w:rPr>
      </w:pPr>
    </w:p>
    <w:p w:rsidR="00866389" w:rsidRDefault="00866389" w:rsidP="00C61C4F">
      <w:pPr>
        <w:tabs>
          <w:tab w:val="left" w:pos="1125"/>
        </w:tabs>
        <w:spacing w:after="0"/>
        <w:jc w:val="both"/>
        <w:rPr>
          <w:rFonts w:asciiTheme="majorHAnsi" w:hAnsiTheme="majorHAnsi"/>
          <w:b/>
          <w:sz w:val="28"/>
          <w:szCs w:val="28"/>
        </w:rPr>
      </w:pPr>
    </w:p>
    <w:p w:rsidR="00866389" w:rsidRDefault="00866389" w:rsidP="00C61C4F">
      <w:pPr>
        <w:tabs>
          <w:tab w:val="left" w:pos="1125"/>
        </w:tabs>
        <w:spacing w:after="0"/>
        <w:jc w:val="both"/>
        <w:rPr>
          <w:rFonts w:asciiTheme="majorHAnsi" w:hAnsiTheme="majorHAnsi"/>
          <w:b/>
          <w:sz w:val="28"/>
          <w:szCs w:val="28"/>
        </w:rPr>
      </w:pPr>
    </w:p>
    <w:p w:rsidR="00866389" w:rsidRPr="00395E15" w:rsidRDefault="00E23BA7" w:rsidP="00E23BA7">
      <w:pPr>
        <w:tabs>
          <w:tab w:val="left" w:pos="1125"/>
        </w:tabs>
        <w:spacing w:after="0"/>
        <w:jc w:val="right"/>
        <w:rPr>
          <w:rFonts w:asciiTheme="majorHAnsi" w:hAnsiTheme="majorHAnsi"/>
          <w:sz w:val="20"/>
          <w:szCs w:val="20"/>
        </w:rPr>
      </w:pPr>
      <w:r w:rsidRPr="00395E15">
        <w:rPr>
          <w:rFonts w:asciiTheme="majorHAnsi" w:hAnsiTheme="majorHAnsi"/>
          <w:sz w:val="20"/>
          <w:szCs w:val="20"/>
        </w:rPr>
        <w:t>6</w:t>
      </w:r>
    </w:p>
    <w:p w:rsidR="00866389" w:rsidRDefault="00866389" w:rsidP="00C61C4F">
      <w:pPr>
        <w:tabs>
          <w:tab w:val="left" w:pos="1125"/>
        </w:tabs>
        <w:spacing w:after="0"/>
        <w:jc w:val="both"/>
        <w:rPr>
          <w:rFonts w:asciiTheme="majorHAnsi" w:hAnsiTheme="majorHAnsi"/>
          <w:b/>
          <w:sz w:val="28"/>
          <w:szCs w:val="28"/>
        </w:rPr>
      </w:pPr>
    </w:p>
    <w:p w:rsidR="001D41A0" w:rsidRPr="00866389" w:rsidRDefault="00C61C4F" w:rsidP="00C61C4F">
      <w:pPr>
        <w:tabs>
          <w:tab w:val="left" w:pos="1125"/>
        </w:tabs>
        <w:spacing w:after="0"/>
        <w:jc w:val="both"/>
        <w:rPr>
          <w:rFonts w:asciiTheme="majorHAnsi" w:hAnsiTheme="majorHAnsi"/>
          <w:b/>
          <w:sz w:val="28"/>
          <w:szCs w:val="28"/>
        </w:rPr>
      </w:pPr>
      <w:r w:rsidRPr="00866389">
        <w:rPr>
          <w:rFonts w:asciiTheme="majorHAnsi" w:hAnsiTheme="majorHAnsi"/>
          <w:b/>
          <w:sz w:val="28"/>
          <w:szCs w:val="28"/>
        </w:rPr>
        <w:t xml:space="preserve">Wykres nr 2 – odpady komunalne segregowana na przełomie </w:t>
      </w:r>
      <w:r w:rsidR="00866389" w:rsidRPr="00866389">
        <w:rPr>
          <w:rFonts w:asciiTheme="majorHAnsi" w:hAnsiTheme="majorHAnsi"/>
          <w:b/>
          <w:sz w:val="28"/>
          <w:szCs w:val="28"/>
        </w:rPr>
        <w:t>poszczególnych miesięcy w 2014 r.</w:t>
      </w:r>
    </w:p>
    <w:p w:rsidR="00866389" w:rsidRDefault="00866389" w:rsidP="00C61C4F">
      <w:pPr>
        <w:tabs>
          <w:tab w:val="left" w:pos="1125"/>
        </w:tabs>
        <w:spacing w:after="0"/>
        <w:jc w:val="both"/>
        <w:rPr>
          <w:rFonts w:asciiTheme="majorHAnsi" w:hAnsiTheme="majorHAnsi"/>
          <w:sz w:val="28"/>
          <w:szCs w:val="28"/>
        </w:rPr>
      </w:pPr>
    </w:p>
    <w:p w:rsidR="00866389" w:rsidRDefault="00866389" w:rsidP="00C61C4F">
      <w:pPr>
        <w:tabs>
          <w:tab w:val="left" w:pos="1125"/>
        </w:tabs>
        <w:spacing w:after="0"/>
        <w:jc w:val="both"/>
        <w:rPr>
          <w:rFonts w:asciiTheme="majorHAnsi" w:hAnsiTheme="majorHAnsi"/>
          <w:sz w:val="28"/>
          <w:szCs w:val="28"/>
        </w:rPr>
      </w:pPr>
    </w:p>
    <w:p w:rsidR="00866389" w:rsidRDefault="00866389" w:rsidP="00C61C4F">
      <w:pPr>
        <w:tabs>
          <w:tab w:val="left" w:pos="1125"/>
        </w:tabs>
        <w:spacing w:after="0"/>
        <w:jc w:val="both"/>
        <w:rPr>
          <w:rFonts w:asciiTheme="majorHAnsi" w:hAnsiTheme="majorHAnsi"/>
          <w:sz w:val="28"/>
          <w:szCs w:val="28"/>
        </w:rPr>
      </w:pPr>
    </w:p>
    <w:p w:rsidR="00E23BA7" w:rsidRDefault="00C61C4F" w:rsidP="00C61C4F">
      <w:pPr>
        <w:tabs>
          <w:tab w:val="left" w:pos="1125"/>
        </w:tabs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pl-PL"/>
        </w:rPr>
        <w:drawing>
          <wp:inline distT="0" distB="0" distL="0" distR="0">
            <wp:extent cx="5638800" cy="3800475"/>
            <wp:effectExtent l="19050" t="0" r="1905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23BA7" w:rsidRPr="00E23BA7" w:rsidRDefault="00E23BA7" w:rsidP="00E23BA7">
      <w:pPr>
        <w:rPr>
          <w:rFonts w:asciiTheme="majorHAnsi" w:hAnsiTheme="majorHAnsi"/>
          <w:sz w:val="28"/>
          <w:szCs w:val="28"/>
        </w:rPr>
      </w:pPr>
    </w:p>
    <w:p w:rsidR="00E23BA7" w:rsidRPr="00E23BA7" w:rsidRDefault="00E23BA7" w:rsidP="00E23BA7">
      <w:pPr>
        <w:rPr>
          <w:rFonts w:asciiTheme="majorHAnsi" w:hAnsiTheme="majorHAnsi"/>
          <w:sz w:val="28"/>
          <w:szCs w:val="28"/>
        </w:rPr>
      </w:pPr>
    </w:p>
    <w:p w:rsidR="00E23BA7" w:rsidRPr="00E23BA7" w:rsidRDefault="00E23BA7" w:rsidP="00E23BA7">
      <w:pPr>
        <w:rPr>
          <w:rFonts w:asciiTheme="majorHAnsi" w:hAnsiTheme="majorHAnsi"/>
          <w:sz w:val="28"/>
          <w:szCs w:val="28"/>
        </w:rPr>
      </w:pPr>
    </w:p>
    <w:p w:rsidR="00E23BA7" w:rsidRPr="00E23BA7" w:rsidRDefault="00E23BA7" w:rsidP="00E23BA7">
      <w:pPr>
        <w:rPr>
          <w:rFonts w:asciiTheme="majorHAnsi" w:hAnsiTheme="majorHAnsi"/>
          <w:sz w:val="28"/>
          <w:szCs w:val="28"/>
        </w:rPr>
      </w:pPr>
    </w:p>
    <w:p w:rsidR="00E23BA7" w:rsidRPr="00E23BA7" w:rsidRDefault="00E23BA7" w:rsidP="00E23BA7">
      <w:pPr>
        <w:rPr>
          <w:rFonts w:asciiTheme="majorHAnsi" w:hAnsiTheme="majorHAnsi"/>
          <w:sz w:val="28"/>
          <w:szCs w:val="28"/>
        </w:rPr>
      </w:pPr>
    </w:p>
    <w:p w:rsidR="00E23BA7" w:rsidRPr="00E23BA7" w:rsidRDefault="00E23BA7" w:rsidP="00E23BA7">
      <w:pPr>
        <w:rPr>
          <w:rFonts w:asciiTheme="majorHAnsi" w:hAnsiTheme="majorHAnsi"/>
          <w:sz w:val="28"/>
          <w:szCs w:val="28"/>
        </w:rPr>
      </w:pPr>
    </w:p>
    <w:p w:rsidR="00E23BA7" w:rsidRDefault="00E23BA7" w:rsidP="00E23BA7">
      <w:pPr>
        <w:rPr>
          <w:rFonts w:asciiTheme="majorHAnsi" w:hAnsiTheme="majorHAnsi"/>
          <w:sz w:val="28"/>
          <w:szCs w:val="28"/>
        </w:rPr>
      </w:pPr>
    </w:p>
    <w:p w:rsidR="003F6CF6" w:rsidRPr="00395E15" w:rsidRDefault="00E23BA7" w:rsidP="00E23BA7">
      <w:pPr>
        <w:tabs>
          <w:tab w:val="left" w:pos="975"/>
        </w:tabs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8"/>
          <w:szCs w:val="28"/>
        </w:rPr>
        <w:tab/>
      </w:r>
      <w:r w:rsidRPr="00395E15">
        <w:rPr>
          <w:rFonts w:asciiTheme="majorHAnsi" w:hAnsiTheme="majorHAnsi"/>
          <w:sz w:val="20"/>
          <w:szCs w:val="20"/>
        </w:rPr>
        <w:t>7</w:t>
      </w:r>
    </w:p>
    <w:sectPr w:rsidR="003F6CF6" w:rsidRPr="00395E15" w:rsidSect="00E23BA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D23" w:rsidRDefault="00197D23" w:rsidP="00AC6114">
      <w:pPr>
        <w:spacing w:after="0" w:line="240" w:lineRule="auto"/>
      </w:pPr>
      <w:r>
        <w:separator/>
      </w:r>
    </w:p>
  </w:endnote>
  <w:endnote w:type="continuationSeparator" w:id="0">
    <w:p w:rsidR="00197D23" w:rsidRDefault="00197D23" w:rsidP="00AC6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D23" w:rsidRDefault="00197D23" w:rsidP="00AC6114">
      <w:pPr>
        <w:spacing w:after="0" w:line="240" w:lineRule="auto"/>
      </w:pPr>
      <w:r>
        <w:separator/>
      </w:r>
    </w:p>
  </w:footnote>
  <w:footnote w:type="continuationSeparator" w:id="0">
    <w:p w:rsidR="00197D23" w:rsidRDefault="00197D23" w:rsidP="00AC6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114" w:rsidRDefault="00AC6114">
    <w:pPr>
      <w:pStyle w:val="Nagwek"/>
    </w:pPr>
  </w:p>
  <w:p w:rsidR="00AC6114" w:rsidRDefault="00AC6114">
    <w:pPr>
      <w:pStyle w:val="Nagwek"/>
    </w:pPr>
  </w:p>
  <w:p w:rsidR="00AC6114" w:rsidRDefault="00AC6114">
    <w:pPr>
      <w:pStyle w:val="Nagwek"/>
    </w:pPr>
  </w:p>
  <w:p w:rsidR="00AC6114" w:rsidRDefault="00AC6114">
    <w:pPr>
      <w:pStyle w:val="Nagwek"/>
    </w:pPr>
  </w:p>
  <w:p w:rsidR="00AC6114" w:rsidRPr="00AC6114" w:rsidRDefault="00AC6114">
    <w:pPr>
      <w:pStyle w:val="Nagwek"/>
      <w:rPr>
        <w:rFonts w:asciiTheme="majorHAnsi" w:hAnsiTheme="majorHAnsi"/>
        <w:b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5B4"/>
    <w:rsid w:val="001955B4"/>
    <w:rsid w:val="00197D23"/>
    <w:rsid w:val="001D41A0"/>
    <w:rsid w:val="00395E15"/>
    <w:rsid w:val="003F6CF6"/>
    <w:rsid w:val="00444ACB"/>
    <w:rsid w:val="00866389"/>
    <w:rsid w:val="008D452B"/>
    <w:rsid w:val="00931E6B"/>
    <w:rsid w:val="00A761F7"/>
    <w:rsid w:val="00AC6114"/>
    <w:rsid w:val="00B03C74"/>
    <w:rsid w:val="00B22DEA"/>
    <w:rsid w:val="00B7638C"/>
    <w:rsid w:val="00BE1DFB"/>
    <w:rsid w:val="00C61C4F"/>
    <w:rsid w:val="00E23BA7"/>
    <w:rsid w:val="00FE6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C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5B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AC6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6114"/>
  </w:style>
  <w:style w:type="paragraph" w:styleId="Stopka">
    <w:name w:val="footer"/>
    <w:basedOn w:val="Normalny"/>
    <w:link w:val="StopkaZnak"/>
    <w:uiPriority w:val="99"/>
    <w:semiHidden/>
    <w:unhideWhenUsed/>
    <w:rsid w:val="00AC6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1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/>
    <c:plotArea>
      <c:layout/>
      <c:lineChart>
        <c:grouping val="stacked"/>
        <c:ser>
          <c:idx val="0"/>
          <c:order val="0"/>
          <c:tx>
            <c:strRef>
              <c:f>Arkusz1!$B$1</c:f>
              <c:strCache>
                <c:ptCount val="1"/>
                <c:pt idx="0">
                  <c:v>2014</c:v>
                </c:pt>
              </c:strCache>
            </c:strRef>
          </c:tx>
          <c:cat>
            <c:strRef>
              <c:f>Arkusz1!$A$2:$A$13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12"/>
                <c:pt idx="0">
                  <c:v>4.76</c:v>
                </c:pt>
                <c:pt idx="1">
                  <c:v>7.42</c:v>
                </c:pt>
                <c:pt idx="2">
                  <c:v>5.38</c:v>
                </c:pt>
                <c:pt idx="3">
                  <c:v>5.74</c:v>
                </c:pt>
                <c:pt idx="4">
                  <c:v>5.0599999999999996</c:v>
                </c:pt>
                <c:pt idx="5">
                  <c:v>6.26</c:v>
                </c:pt>
                <c:pt idx="6">
                  <c:v>4.88</c:v>
                </c:pt>
                <c:pt idx="7">
                  <c:v>8.82</c:v>
                </c:pt>
                <c:pt idx="8">
                  <c:v>6.6</c:v>
                </c:pt>
                <c:pt idx="9">
                  <c:v>4.8</c:v>
                </c:pt>
                <c:pt idx="10">
                  <c:v>10.200000000000001</c:v>
                </c:pt>
                <c:pt idx="11">
                  <c:v>4.76</c:v>
                </c:pt>
              </c:numCache>
            </c:numRef>
          </c:val>
        </c:ser>
        <c:dLbls>
          <c:showVal val="1"/>
        </c:dLbls>
        <c:marker val="1"/>
        <c:axId val="46998656"/>
        <c:axId val="47000192"/>
      </c:lineChart>
      <c:catAx>
        <c:axId val="46998656"/>
        <c:scaling>
          <c:orientation val="minMax"/>
        </c:scaling>
        <c:axPos val="b"/>
        <c:majorTickMark val="none"/>
        <c:tickLblPos val="nextTo"/>
        <c:crossAx val="47000192"/>
        <c:crosses val="autoZero"/>
        <c:auto val="1"/>
        <c:lblAlgn val="ctr"/>
        <c:lblOffset val="100"/>
      </c:catAx>
      <c:valAx>
        <c:axId val="4700019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4699865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/>
      <c:lineChart>
        <c:grouping val="standard"/>
        <c:ser>
          <c:idx val="0"/>
          <c:order val="0"/>
          <c:tx>
            <c:strRef>
              <c:f>Arkusz1!$B$1</c:f>
              <c:strCache>
                <c:ptCount val="1"/>
                <c:pt idx="0">
                  <c:v>szkło w Mg</c:v>
                </c:pt>
              </c:strCache>
            </c:strRef>
          </c:tx>
          <c:marker>
            <c:symbol val="none"/>
          </c:marker>
          <c:cat>
            <c:strRef>
              <c:f>Arkusz1!$A$2:$A$14</c:f>
              <c:strCache>
                <c:ptCount val="12"/>
                <c:pt idx="0">
                  <c:v>styczeć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Arkusz1!$B$2:$B$14</c:f>
              <c:numCache>
                <c:formatCode>General</c:formatCode>
                <c:ptCount val="13"/>
                <c:pt idx="0">
                  <c:v>2.98</c:v>
                </c:pt>
                <c:pt idx="1">
                  <c:v>2.64</c:v>
                </c:pt>
                <c:pt idx="2">
                  <c:v>2.16</c:v>
                </c:pt>
                <c:pt idx="3">
                  <c:v>1.74</c:v>
                </c:pt>
                <c:pt idx="4">
                  <c:v>2.94</c:v>
                </c:pt>
                <c:pt idx="5">
                  <c:v>2.08</c:v>
                </c:pt>
                <c:pt idx="6">
                  <c:v>2.06</c:v>
                </c:pt>
                <c:pt idx="7">
                  <c:v>2.7</c:v>
                </c:pt>
                <c:pt idx="8">
                  <c:v>2.58</c:v>
                </c:pt>
                <c:pt idx="9">
                  <c:v>1.5</c:v>
                </c:pt>
                <c:pt idx="10">
                  <c:v>2.96</c:v>
                </c:pt>
                <c:pt idx="11">
                  <c:v>1.44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plastik w Mg</c:v>
                </c:pt>
              </c:strCache>
            </c:strRef>
          </c:tx>
          <c:marker>
            <c:symbol val="none"/>
          </c:marker>
          <c:cat>
            <c:strRef>
              <c:f>Arkusz1!$A$2:$A$14</c:f>
              <c:strCache>
                <c:ptCount val="12"/>
                <c:pt idx="0">
                  <c:v>styczeć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Arkusz1!$C$2:$C$14</c:f>
              <c:numCache>
                <c:formatCode>General</c:formatCode>
                <c:ptCount val="13"/>
                <c:pt idx="0">
                  <c:v>0.34</c:v>
                </c:pt>
                <c:pt idx="1">
                  <c:v>0.8</c:v>
                </c:pt>
                <c:pt idx="2">
                  <c:v>0.74000000000000032</c:v>
                </c:pt>
                <c:pt idx="3">
                  <c:v>0.86000000000000032</c:v>
                </c:pt>
                <c:pt idx="4">
                  <c:v>0.4</c:v>
                </c:pt>
                <c:pt idx="5">
                  <c:v>1.2</c:v>
                </c:pt>
                <c:pt idx="6">
                  <c:v>1.04</c:v>
                </c:pt>
                <c:pt idx="7">
                  <c:v>0.70000000000000029</c:v>
                </c:pt>
                <c:pt idx="8">
                  <c:v>1.08</c:v>
                </c:pt>
                <c:pt idx="9">
                  <c:v>1</c:v>
                </c:pt>
                <c:pt idx="10">
                  <c:v>0.94000000000000028</c:v>
                </c:pt>
                <c:pt idx="11">
                  <c:v>0.9600000000000003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papier w Mg</c:v>
                </c:pt>
              </c:strCache>
            </c:strRef>
          </c:tx>
          <c:marker>
            <c:symbol val="none"/>
          </c:marker>
          <c:cat>
            <c:strRef>
              <c:f>Arkusz1!$A$2:$A$14</c:f>
              <c:strCache>
                <c:ptCount val="12"/>
                <c:pt idx="0">
                  <c:v>styczeć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Arkusz1!$D$2:$D$14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0.2</c:v>
                </c:pt>
                <c:pt idx="9">
                  <c:v>0</c:v>
                </c:pt>
                <c:pt idx="10">
                  <c:v>0</c:v>
                </c:pt>
                <c:pt idx="11">
                  <c:v>6.0000000000000026E-2</c:v>
                </c:pt>
              </c:numCache>
            </c:numRef>
          </c:val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zużyte opony w Mg</c:v>
                </c:pt>
              </c:strCache>
            </c:strRef>
          </c:tx>
          <c:marker>
            <c:symbol val="none"/>
          </c:marker>
          <c:cat>
            <c:strRef>
              <c:f>Arkusz1!$A$2:$A$14</c:f>
              <c:strCache>
                <c:ptCount val="12"/>
                <c:pt idx="0">
                  <c:v>styczeć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Arkusz1!$E$2:$E$14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6.0000000000000026E-2</c:v>
                </c:pt>
              </c:numCache>
            </c:numRef>
          </c:val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odpady wielkogabarytowe w Mg</c:v>
                </c:pt>
              </c:strCache>
            </c:strRef>
          </c:tx>
          <c:marker>
            <c:symbol val="none"/>
          </c:marker>
          <c:cat>
            <c:strRef>
              <c:f>Arkusz1!$A$2:$A$14</c:f>
              <c:strCache>
                <c:ptCount val="12"/>
                <c:pt idx="0">
                  <c:v>styczeć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Arkusz1!$F$2:$F$14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0.44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0.76000000000000034</c:v>
                </c:pt>
              </c:numCache>
            </c:numRef>
          </c:val>
        </c:ser>
        <c:ser>
          <c:idx val="5"/>
          <c:order val="5"/>
          <c:tx>
            <c:strRef>
              <c:f>Arkusz1!$G$1</c:f>
              <c:strCache>
                <c:ptCount val="1"/>
                <c:pt idx="0">
                  <c:v>sprzęt elektryczny i elektroniczny w Mg</c:v>
                </c:pt>
              </c:strCache>
            </c:strRef>
          </c:tx>
          <c:marker>
            <c:symbol val="none"/>
          </c:marker>
          <c:cat>
            <c:strRef>
              <c:f>Arkusz1!$A$2:$A$14</c:f>
              <c:strCache>
                <c:ptCount val="12"/>
                <c:pt idx="0">
                  <c:v>styczeć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Arkusz1!$G$2:$G$14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0.2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6"/>
          <c:order val="6"/>
          <c:tx>
            <c:strRef>
              <c:f>Arkusz1!$H$1</c:f>
              <c:strCache>
                <c:ptCount val="1"/>
                <c:pt idx="0">
                  <c:v>urzadzenia zawierające freony w Mg</c:v>
                </c:pt>
              </c:strCache>
            </c:strRef>
          </c:tx>
          <c:marker>
            <c:symbol val="none"/>
          </c:marker>
          <c:cat>
            <c:strRef>
              <c:f>Arkusz1!$A$2:$A$14</c:f>
              <c:strCache>
                <c:ptCount val="12"/>
                <c:pt idx="0">
                  <c:v>styczeć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Arkusz1!$H$2:$H$14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0.18000000000000008</c:v>
                </c:pt>
              </c:numCache>
            </c:numRef>
          </c:val>
        </c:ser>
        <c:ser>
          <c:idx val="7"/>
          <c:order val="7"/>
          <c:tx>
            <c:strRef>
              <c:f>Arkusz1!$I$1</c:f>
              <c:strCache>
                <c:ptCount val="1"/>
                <c:pt idx="0">
                  <c:v>odpady uleg. biodegradacji w Mg</c:v>
                </c:pt>
              </c:strCache>
            </c:strRef>
          </c:tx>
          <c:marker>
            <c:symbol val="none"/>
          </c:marker>
          <c:cat>
            <c:strRef>
              <c:f>Arkusz1!$A$2:$A$14</c:f>
              <c:strCache>
                <c:ptCount val="12"/>
                <c:pt idx="0">
                  <c:v>styczeć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Arkusz1!$I$2:$I$14</c:f>
              <c:numCache>
                <c:formatCode>General</c:formatCode>
                <c:ptCount val="13"/>
                <c:pt idx="0">
                  <c:v>0</c:v>
                </c:pt>
                <c:pt idx="1">
                  <c:v>0.2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0.34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6.0000000000000026E-2</c:v>
                </c:pt>
              </c:numCache>
            </c:numRef>
          </c:val>
        </c:ser>
        <c:ser>
          <c:idx val="8"/>
          <c:order val="8"/>
          <c:tx>
            <c:strRef>
              <c:f>Arkusz1!$J$1</c:f>
              <c:strCache>
                <c:ptCount val="1"/>
                <c:pt idx="0">
                  <c:v>inne odpady nie uleg. biodegradacji w Mg</c:v>
                </c:pt>
              </c:strCache>
            </c:strRef>
          </c:tx>
          <c:marker>
            <c:symbol val="none"/>
          </c:marker>
          <c:cat>
            <c:strRef>
              <c:f>Arkusz1!$A$2:$A$14</c:f>
              <c:strCache>
                <c:ptCount val="12"/>
                <c:pt idx="0">
                  <c:v>styczeć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Arkusz1!$J$2:$J$14</c:f>
              <c:numCache>
                <c:formatCode>General</c:formatCode>
                <c:ptCount val="13"/>
                <c:pt idx="0">
                  <c:v>3.4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1.6800000000000006</c:v>
                </c:pt>
              </c:numCache>
            </c:numRef>
          </c:val>
        </c:ser>
        <c:ser>
          <c:idx val="9"/>
          <c:order val="9"/>
          <c:tx>
            <c:strRef>
              <c:f>Arkusz1!$K$1</c:f>
              <c:strCache>
                <c:ptCount val="1"/>
                <c:pt idx="0">
                  <c:v>Kolumna1</c:v>
                </c:pt>
              </c:strCache>
            </c:strRef>
          </c:tx>
          <c:marker>
            <c:symbol val="none"/>
          </c:marker>
          <c:cat>
            <c:strRef>
              <c:f>Arkusz1!$A$2:$A$14</c:f>
              <c:strCache>
                <c:ptCount val="12"/>
                <c:pt idx="0">
                  <c:v>styczeć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Arkusz1!$K$2:$K$14</c:f>
              <c:numCache>
                <c:formatCode>General</c:formatCode>
                <c:ptCount val="13"/>
              </c:numCache>
            </c:numRef>
          </c:val>
        </c:ser>
        <c:ser>
          <c:idx val="10"/>
          <c:order val="10"/>
          <c:tx>
            <c:strRef>
              <c:f>Arkusz1!$L$1</c:f>
              <c:strCache>
                <c:ptCount val="1"/>
                <c:pt idx="0">
                  <c:v>Kolumna2</c:v>
                </c:pt>
              </c:strCache>
            </c:strRef>
          </c:tx>
          <c:marker>
            <c:symbol val="none"/>
          </c:marker>
          <c:cat>
            <c:strRef>
              <c:f>Arkusz1!$A$2:$A$14</c:f>
              <c:strCache>
                <c:ptCount val="12"/>
                <c:pt idx="0">
                  <c:v>styczeć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Arkusz1!$L$2:$L$14</c:f>
              <c:numCache>
                <c:formatCode>General</c:formatCode>
                <c:ptCount val="13"/>
              </c:numCache>
            </c:numRef>
          </c:val>
        </c:ser>
        <c:ser>
          <c:idx val="11"/>
          <c:order val="11"/>
          <c:tx>
            <c:strRef>
              <c:f>Arkusz1!$M$1</c:f>
              <c:strCache>
                <c:ptCount val="1"/>
                <c:pt idx="0">
                  <c:v>Kolumna3</c:v>
                </c:pt>
              </c:strCache>
            </c:strRef>
          </c:tx>
          <c:marker>
            <c:symbol val="none"/>
          </c:marker>
          <c:cat>
            <c:strRef>
              <c:f>Arkusz1!$A$2:$A$14</c:f>
              <c:strCache>
                <c:ptCount val="12"/>
                <c:pt idx="0">
                  <c:v>styczeć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Arkusz1!$M$2:$M$14</c:f>
              <c:numCache>
                <c:formatCode>General</c:formatCode>
                <c:ptCount val="13"/>
              </c:numCache>
            </c:numRef>
          </c:val>
        </c:ser>
        <c:marker val="1"/>
        <c:axId val="48631168"/>
        <c:axId val="48734592"/>
      </c:lineChart>
      <c:catAx>
        <c:axId val="48631168"/>
        <c:scaling>
          <c:orientation val="minMax"/>
        </c:scaling>
        <c:axPos val="b"/>
        <c:tickLblPos val="nextTo"/>
        <c:crossAx val="48734592"/>
        <c:crosses val="autoZero"/>
        <c:auto val="1"/>
        <c:lblAlgn val="ctr"/>
        <c:lblOffset val="100"/>
      </c:catAx>
      <c:valAx>
        <c:axId val="48734592"/>
        <c:scaling>
          <c:orientation val="minMax"/>
        </c:scaling>
        <c:axPos val="l"/>
        <c:majorGridlines/>
        <c:numFmt formatCode="General" sourceLinked="1"/>
        <c:tickLblPos val="nextTo"/>
        <c:crossAx val="486311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17DE0-05ED-4E99-B32B-18928539E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steca</dc:creator>
  <cp:keywords/>
  <dc:description/>
  <cp:lastModifiedBy>steca</cp:lastModifiedBy>
  <cp:revision>9</cp:revision>
  <cp:lastPrinted>2015-08-26T08:06:00Z</cp:lastPrinted>
  <dcterms:created xsi:type="dcterms:W3CDTF">2015-08-25T11:26:00Z</dcterms:created>
  <dcterms:modified xsi:type="dcterms:W3CDTF">2015-08-26T09:35:00Z</dcterms:modified>
</cp:coreProperties>
</file>