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ofertowego IIiGG.271.1</w:t>
                            </w:r>
                            <w:r w:rsidR="000C745F">
                              <w:rPr>
                                <w:bCs/>
                                <w:i/>
                              </w:rPr>
                              <w:t>9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046634">
                        <w:rPr>
                          <w:bCs/>
                          <w:i/>
                        </w:rPr>
                        <w:t>ofertowego IIiGG.271.1</w:t>
                      </w:r>
                      <w:r w:rsidR="000C745F">
                        <w:rPr>
                          <w:bCs/>
                          <w:i/>
                        </w:rPr>
                        <w:t>9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 xml:space="preserve">przetargu/ </w:t>
      </w:r>
      <w:r>
        <w:rPr>
          <w:rFonts w:eastAsiaTheme="minorHAnsi"/>
          <w:lang w:eastAsia="en-US"/>
        </w:rPr>
        <w:t>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 xml:space="preserve">zgodę na </w:t>
      </w:r>
      <w:r>
        <w:t>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 przetargu ofertowego pn.</w:t>
      </w:r>
      <w:r w:rsidRPr="006A69B4">
        <w:t xml:space="preserve"> „</w:t>
      </w:r>
      <w:r w:rsidRPr="006A69B4">
        <w:rPr>
          <w:i/>
        </w:rPr>
        <w:t>Sprzedaż drewna wielkowymiarowego (VII partia- buk WDp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7E1DC7">
        <w:br/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  <w:bookmarkStart w:id="0" w:name="_GoBack"/>
      <w:bookmarkEnd w:id="0"/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9B" w:rsidRDefault="00A4369B" w:rsidP="00F84853">
      <w:r>
        <w:separator/>
      </w:r>
    </w:p>
  </w:endnote>
  <w:endnote w:type="continuationSeparator" w:id="0">
    <w:p w:rsidR="00A4369B" w:rsidRDefault="00A4369B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9B" w:rsidRDefault="00A4369B" w:rsidP="00F84853">
      <w:r>
        <w:separator/>
      </w:r>
    </w:p>
  </w:footnote>
  <w:footnote w:type="continuationSeparator" w:id="0">
    <w:p w:rsidR="00A4369B" w:rsidRDefault="00A4369B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058E4-C18F-4243-9403-240162CE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58</cp:revision>
  <cp:lastPrinted>2019-07-18T06:23:00Z</cp:lastPrinted>
  <dcterms:created xsi:type="dcterms:W3CDTF">2015-08-03T08:18:00Z</dcterms:created>
  <dcterms:modified xsi:type="dcterms:W3CDTF">2019-07-18T06:23:00Z</dcterms:modified>
</cp:coreProperties>
</file>